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700"/>
        <w:jc w:val="center"/>
      </w:pPr>
      <w:r>
        <w:rPr>
          <w:rFonts w:ascii="EB Garamond" w:hAnsi="EB Garamond"/>
          <w:b/>
          <w:color w:val="24577A"/>
          <w:sz w:val="50"/>
        </w:rPr>
        <w:t>DOMAIN INVESTING</w:t>
      </w:r>
    </w:p>
    <w:p>
      <w:pPr>
        <w:jc w:val="center"/>
      </w:pPr>
      <w:r>
        <w:rPr>
          <w:b/>
          <w:color w:val="464E56"/>
          <w:sz w:val="42"/>
        </w:rPr>
        <w:t>Checklists and Worksheets</w:t>
      </w:r>
    </w:p>
    <w:p>
      <w:pPr>
        <w:spacing w:before="280"/>
        <w:jc w:val="center"/>
      </w:pPr>
      <w:r>
        <w:rPr>
          <w:i/>
          <w:sz w:val="24"/>
        </w:rPr>
        <w:t>Companion workbook for Beginner’s Guide to Making Money With Domain Names</w:t>
      </w:r>
    </w:p>
    <w:p>
      <w:pPr>
        <w:spacing w:before="480"/>
        <w:jc w:val="center"/>
      </w:pPr>
      <w:r>
        <w:rPr>
          <w:sz w:val="24"/>
        </w:rPr>
        <w:t>Michael K. Sullivan</w:t>
      </w:r>
    </w:p>
    <w:p>
      <w:pPr>
        <w:spacing w:before="900"/>
        <w:jc w:val="center"/>
      </w:pPr>
      <w:r>
        <w:t>Updated July 2026</w:t>
      </w:r>
    </w:p>
    <w:p>
      <w:pPr>
        <w:spacing w:before="700"/>
        <w:jc w:val="center"/>
      </w:pPr>
      <w:hyperlink r:id="rId9">
        <w:r>
          <w:rPr>
            <w:color w:val="24577A"/>
            <w:u w:val="single"/>
            <w:rFonts w:ascii="EB Garamond" w:hAnsi="EB Garamond"/>
          </w:rPr>
          <w:t>SullysBlog.com/domain-resources</w:t>
        </w:r>
      </w:hyperlink>
    </w:p>
    <w:p>
      <w:r>
        <w:br w:type="page"/>
      </w:r>
    </w:p>
    <w:p>
      <w:pPr>
        <w:pStyle w:val="Heading1"/>
      </w:pPr>
      <w:r>
        <w:t>How to Use This Workbook</w:t>
      </w:r>
    </w:p>
    <w:p>
      <w:pPr>
        <w:spacing w:after="100"/>
      </w:pPr>
      <w:r>
        <w:t>These worksheets are designed to slow down decisions and preserve the reasoning behind them. Print the pages you need, duplicate repeatable sheets, or complete them in Word. A worksheet cannot tell you whether a domain will sell. It can make it harder to hide a weak purchase from yourself.</w:t>
      </w:r>
    </w:p>
    <w:p>
      <w:pPr>
        <w:spacing w:after="100"/>
      </w:pPr>
      <w:r>
        <w:t>The downloadable workbook may be updated as the book, domain policies, and common investor workflows change. Current versions and additional resources are maintained on the SullysBlog Domain Resources page.</w:t>
      </w:r>
    </w:p>
    <w:p>
      <w:pPr>
        <w:pStyle w:val="ChapterCallout"/>
        <w:shd w:fill="EEF3F7"/>
        <w:pBdr>
          <w:left w:val="single" w:sz="18" w:space="8" w:color="486A86"/>
        </w:pBdr>
      </w:pPr>
      <w:r>
        <w:rPr>
          <w:b/>
          <w:color w:val="1C3046"/>
        </w:rPr>
        <w:t>ONLINE COMPANION</w:t>
        <w:br/>
      </w:r>
      <w:r>
        <w:t>Download the newest workbook and related resources here:</w:t>
      </w:r>
      <w:r>
        <w:br/>
      </w:r>
      <w:hyperlink r:id="rId9">
        <w:r>
          <w:rPr>
            <w:color w:val="24577A"/>
            <w:u w:val="single"/>
            <w:rFonts w:ascii="EB Garamond" w:hAnsi="EB Garamond"/>
          </w:rPr>
          <w:t>https://sullysblog.com/domain-resources#book-worksheets</w:t>
        </w:r>
      </w:hyperlink>
    </w:p>
    <w:p>
      <w:pPr>
        <w:spacing w:after="100"/>
      </w:pPr>
      <w:r>
        <w:t>Educational use only. These worksheets are not legal, tax, investment, security, or financial advice. Verify current registrar, registry, marketplace, legal, and transaction rules before acting.</w:t>
      </w:r>
    </w:p>
    <w:p>
      <w:r>
        <w:br w:type="page"/>
      </w:r>
    </w:p>
    <w:p>
      <w:pPr>
        <w:pStyle w:val="Heading1"/>
      </w:pPr>
      <w:r>
        <w:t>Checklists and Worksheets</w:t>
      </w:r>
    </w:p>
    <w:p>
      <w:pPr>
        <w:spacing w:after="100"/>
      </w:pPr>
      <w:r>
        <w:t>The worksheets in this appendix are designed to turn the book’s ideas into repeatable decisions. They can be completed on paper, copied into a document, or adapted to a spreadsheet. Not every blank will apply to every domain.</w:t>
      </w:r>
    </w:p>
    <w:p>
      <w:pPr>
        <w:spacing w:after="100"/>
      </w:pPr>
      <w:r>
        <w:t>Use the worksheets to slow down purchases, document reasoning, compare what you expected with what happened, and keep important transaction and security steps from depending on memory.</w:t>
      </w:r>
    </w:p>
    <w:p>
      <w:pPr>
        <w:pStyle w:val="ChapterCallout"/>
        <w:shd w:fill="EEF3F7"/>
        <w:pBdr>
          <w:left w:val="single" w:sz="18" w:space="8" w:color="486A86"/>
        </w:pBdr>
      </w:pPr>
      <w:r>
        <w:rPr>
          <w:b/>
          <w:color w:val="1C3046"/>
        </w:rPr>
        <w:t>DOWNLOADABLE VERSIONS</w:t>
        <w:br/>
      </w:r>
      <w:r>
        <w:t>Printable and editable companion versions are maintained in the Book Worksheets and Downloads section of the SullysBlog Domain Resources page. The online versions may include additional fields or updated formats.</w:t>
      </w:r>
      <w:r>
        <w:br/>
      </w:r>
      <w:hyperlink r:id="rId9">
        <w:r>
          <w:rPr>
            <w:color w:val="24577A"/>
            <w:u w:val="single"/>
            <w:rFonts w:ascii="EB Garamond" w:hAnsi="EB Garamond"/>
          </w:rPr>
          <w:t>https://sullysblog.com/domain-resources#book-worksheets</w:t>
        </w:r>
      </w:hyperlink>
    </w:p>
    <w:p>
      <w:pPr>
        <w:pStyle w:val="Heading2"/>
        <w:keepNext/>
      </w:pPr>
      <w:r>
        <w:t>Worksheet 1: Domain Purchase Analysis</w:t>
      </w:r>
    </w:p>
    <w:p>
      <w:pPr>
        <w:keepNext/>
        <w:spacing w:after="140"/>
      </w:pPr>
      <w:r>
        <w:rPr>
          <w:i/>
          <w:color w:val="5A6269"/>
        </w:rPr>
        <w:t>Complete this before registering, bidding on, or privately acquiring a domain.</w:t>
      </w:r>
    </w:p>
    <w:p>
      <w:pPr>
        <w:pStyle w:val="Heading3"/>
        <w:keepNext/>
        <w:spacing w:before="160" w:after="80"/>
      </w:pPr>
      <w:r>
        <w:t>Domain and transaction basics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Domain name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Date reviewed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Acquisition source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Purchase type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Hand registration / auction / closeout / backorder / marketplace / private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Current registrar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Asking price or current bid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Standard renewal price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Premium renewal?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Yes / No / Unknown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Buyer or auction fees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Transfer or broker fees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Maximum total acquisition cost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</w:tbl>
    <w:p>
      <w:pPr>
        <w:pStyle w:val="Heading3"/>
        <w:keepNext/>
        <w:spacing w:before="160" w:after="80"/>
      </w:pPr>
      <w:r>
        <w:t>Investment thesis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What does the domain mean?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Most likely use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Primary buyer type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Why would a buyer prefer it?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Best available alternative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Likely holding period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How will buyers find it?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What would make you stop renewing?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</w:tbl>
    <w:p>
      <w:pPr>
        <w:pStyle w:val="Heading3"/>
        <w:keepNext/>
        <w:spacing w:before="160" w:after="80"/>
      </w:pPr>
      <w:r>
        <w:t>Quality and risk review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spelling is natural and can be understood after hearing it.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lowercase version is readable and does not create an unintended phrase.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word order, singular or plural form, and extension fit the likely use.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domain has more than one realistic buyer or a clearly documented strategic use.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purchase does not depend on an automated appraisal or asking price.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Trademark, UDRP, and reputation concerns were reviewed.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Prior use, archive history, backlinks, and traffic were reviewed when relevant.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full three-year carrying cost is acceptable.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purchase still makes sense without social-media hype or auction competition.</w:t>
      </w:r>
    </w:p>
    <w:p>
      <w:pPr>
        <w:pStyle w:val="Heading3"/>
        <w:keepNext/>
        <w:spacing w:before="160" w:after="80"/>
      </w:pPr>
      <w:r>
        <w:t>Decision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Decision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Buy / Watch / Pass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Confidence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1  2  3  4  5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Final maximum price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Reason for decision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</w:tbl>
    <w:p>
      <w:pPr>
        <w:pStyle w:val="Heading3"/>
        <w:keepNext/>
        <w:spacing w:before="160" w:after="80"/>
      </w:pPr>
      <w:r>
        <w:t>Additional research or conditions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  <w:br/>
              <w:br/>
              <w:br/>
              <w:br/>
            </w:r>
          </w:p>
        </w:tc>
      </w:tr>
    </w:tbl>
    <w:p>
      <w:pPr>
        <w:pStyle w:val="Heading2"/>
        <w:keepNext/>
        <w:pageBreakBefore/>
      </w:pPr>
      <w:r>
        <w:t>Worksheet 2: Buyer-Pool Test</w:t>
      </w:r>
    </w:p>
    <w:p>
      <w:pPr>
        <w:keepNext/>
        <w:spacing w:after="140"/>
      </w:pPr>
      <w:r>
        <w:rPr>
          <w:i/>
          <w:color w:val="5A6269"/>
        </w:rPr>
        <w:t>Use this to determine whether the buyer pool is real or only sounds large.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Domain name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Primary use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Primary market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Price range being tested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</w:tbl>
    <w:p>
      <w:pPr>
        <w:pStyle w:val="Heading3"/>
        <w:keepNext/>
        <w:spacing w:before="160" w:after="80"/>
      </w:pPr>
      <w:r>
        <w:t>Qualified buyer list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  <w:tblHeader w:val="true"/>
        </w:trPr>
        <w:tc>
          <w:tcPr>
            <w:tcW w:type="dxa" w:w="244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Company or buyer type</w:t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Why the domain fits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Current name or alternative</w:t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Strength</w:t>
            </w:r>
          </w:p>
        </w:tc>
      </w:tr>
      <w:tr>
        <w:trPr>
          <w:cantSplit/>
        </w:trPr>
        <w:tc>
          <w:tcPr>
            <w:tcW w:type="dxa" w:w="244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244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244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244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244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244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244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244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</w:tbl>
    <w:p>
      <w:pPr>
        <w:pStyle w:val="Heading3"/>
        <w:keepNext/>
        <w:spacing w:before="160" w:after="80"/>
      </w:pPr>
      <w:r>
        <w:t>Buyer-pool questions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I can identify several businesses that could use the exact domain without inventing a new industry.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domain would be a meaningful improvement over at least some buyers’ current options.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likely buyers operate in a market where money is spent on branding, leads, products, or customer acquisition.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buyer list is not based on one trademark owner or one company.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buyers are not all counted because they contain one shared keyword.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price fits the likely buyer size and decision process.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There are enough buyers that one rejection does not end the investment thesis.</w:t>
      </w:r>
    </w:p>
    <w:p>
      <w:pPr>
        <w:pStyle w:val="Heading3"/>
        <w:keepNext/>
        <w:spacing w:before="160" w:after="80"/>
      </w:pPr>
      <w:r>
        <w:t>Conclusion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Qualified buyers identified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Strong matches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One-buyer risk?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Yes / No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Buyer-pool rating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Weak / Moderate / Strong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What could buyers use instead?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Would I still buy the domain?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Yes / No / Only below $_____</w:t>
            </w:r>
          </w:p>
        </w:tc>
      </w:tr>
    </w:tbl>
    <w:p>
      <w:pPr>
        <w:pStyle w:val="Heading2"/>
        <w:keepNext/>
        <w:pageBreakBefore/>
      </w:pPr>
      <w:r>
        <w:t>Worksheet 3: Domain Valuation</w:t>
      </w:r>
    </w:p>
    <w:p>
      <w:pPr>
        <w:keepNext/>
        <w:spacing w:after="140"/>
      </w:pPr>
      <w:r>
        <w:rPr>
          <w:i/>
          <w:color w:val="5A6269"/>
        </w:rPr>
        <w:t>Estimate a defensible range rather than one supposedly exact number.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Domain name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Valuation date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Likely buyer type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Primary use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Annual renewal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</w:tbl>
    <w:p>
      <w:pPr>
        <w:pStyle w:val="Heading3"/>
        <w:keepNext/>
        <w:spacing w:before="160" w:after="80"/>
      </w:pPr>
      <w:r>
        <w:t>Core valuation factors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  <w:tblHeader w:val="true"/>
        </w:trPr>
        <w:tc>
          <w:tcPr>
            <w:tcW w:type="dxa" w:w="324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Factor</w:t>
            </w:r>
          </w:p>
        </w:tc>
        <w:tc>
          <w:tcPr>
            <w:tcW w:type="dxa" w:w="100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1-5</w:t>
            </w:r>
          </w:p>
        </w:tc>
        <w:tc>
          <w:tcPr>
            <w:tcW w:type="dxa" w:w="61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Evidence or concern</w:t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Commercial use</w:t>
            </w:r>
          </w:p>
        </w:tc>
        <w:tc>
          <w:tcPr>
            <w:tcW w:type="dxa" w:w="100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1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Buyer-pool depth</w:t>
            </w:r>
          </w:p>
        </w:tc>
        <w:tc>
          <w:tcPr>
            <w:tcW w:type="dxa" w:w="100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1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Extension fit</w:t>
            </w:r>
          </w:p>
        </w:tc>
        <w:tc>
          <w:tcPr>
            <w:tcW w:type="dxa" w:w="100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1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Length and simplicity</w:t>
            </w:r>
          </w:p>
        </w:tc>
        <w:tc>
          <w:tcPr>
            <w:tcW w:type="dxa" w:w="100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1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Sound and spelling</w:t>
            </w:r>
          </w:p>
        </w:tc>
        <w:tc>
          <w:tcPr>
            <w:tcW w:type="dxa" w:w="100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1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Visual balance</w:t>
            </w:r>
          </w:p>
        </w:tc>
        <w:tc>
          <w:tcPr>
            <w:tcW w:type="dxa" w:w="100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1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Meaning and emotional fit</w:t>
            </w:r>
          </w:p>
        </w:tc>
        <w:tc>
          <w:tcPr>
            <w:tcW w:type="dxa" w:w="100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1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Replacement options</w:t>
            </w:r>
          </w:p>
        </w:tc>
        <w:tc>
          <w:tcPr>
            <w:tcW w:type="dxa" w:w="100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1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Comparable sales</w:t>
            </w:r>
          </w:p>
        </w:tc>
        <w:tc>
          <w:tcPr>
            <w:tcW w:type="dxa" w:w="100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1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History, traffic, or backlinks</w:t>
            </w:r>
          </w:p>
        </w:tc>
        <w:tc>
          <w:tcPr>
            <w:tcW w:type="dxa" w:w="100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1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Legal and reputation risk</w:t>
            </w:r>
          </w:p>
        </w:tc>
        <w:tc>
          <w:tcPr>
            <w:tcW w:type="dxa" w:w="100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1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Liquidity</w:t>
            </w:r>
          </w:p>
        </w:tc>
        <w:tc>
          <w:tcPr>
            <w:tcW w:type="dxa" w:w="100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1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</w:tbl>
    <w:p>
      <w:pPr>
        <w:pStyle w:val="Heading3"/>
        <w:keepNext/>
        <w:spacing w:before="160" w:after="80"/>
      </w:pPr>
      <w:r>
        <w:t>Comparable sales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  <w:tblHeader w:val="true"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6"/>
              </w:rPr>
              <w:t>Comparable domain</w:t>
            </w:r>
          </w:p>
        </w:tc>
        <w:tc>
          <w:tcPr>
            <w:tcW w:type="dxa" w:w="20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6"/>
              </w:rPr>
              <w:t>Price and date</w:t>
            </w:r>
          </w:p>
        </w:tc>
        <w:tc>
          <w:tcPr>
            <w:tcW w:type="dxa" w:w="180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6"/>
              </w:rPr>
              <w:t>Sale type</w:t>
            </w:r>
          </w:p>
        </w:tc>
        <w:tc>
          <w:tcPr>
            <w:tcW w:type="dxa" w:w="37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6"/>
              </w:rPr>
              <w:t>Important difference</w:t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7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7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7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7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7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7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</w:tbl>
    <w:p>
      <w:pPr>
        <w:pStyle w:val="Heading3"/>
        <w:keepNext/>
        <w:spacing w:before="160" w:after="80"/>
      </w:pPr>
      <w:r>
        <w:t>Valuation ranges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Liquidation range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$________ to $________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Wholesale range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$________ to $________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Ordinary retail range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$________ to $________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Strategic upside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$________ if __________________________________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Confidence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Low / Moderate / High</w:t>
            </w:r>
          </w:p>
        </w:tc>
      </w:tr>
    </w:tbl>
    <w:p>
      <w:pPr>
        <w:pStyle w:val="Heading3"/>
        <w:keepNext/>
        <w:spacing w:before="160" w:after="80"/>
      </w:pPr>
      <w:r>
        <w:t>Net result test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Target gross sale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Expected retail result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Less commission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Gross sale x expected rate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Less renewals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Annual renewal x holding years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Less acquisition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Purchase plus buyer fees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Projected net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Gross sale minus all costs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p>
      <w:pPr>
        <w:pStyle w:val="Heading3"/>
        <w:keepNext/>
        <w:spacing w:before="160" w:after="80"/>
      </w:pPr>
      <w:r>
        <w:t>Valuation conclusion and assumptions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  <w:br/>
              <w:br/>
              <w:br/>
              <w:br/>
              <w:br/>
            </w:r>
          </w:p>
        </w:tc>
      </w:tr>
    </w:tbl>
    <w:p>
      <w:pPr>
        <w:pStyle w:val="Heading2"/>
        <w:keepNext/>
        <w:pageBreakBefore/>
      </w:pPr>
      <w:r>
        <w:t>Worksheet 4: Auction Maximum-Bid Worksheet</w:t>
      </w:r>
    </w:p>
    <w:p>
      <w:pPr>
        <w:keepNext/>
        <w:spacing w:after="140"/>
      </w:pPr>
      <w:r>
        <w:rPr>
          <w:i/>
          <w:color w:val="5A6269"/>
        </w:rPr>
        <w:t>Set the number before the auction begins deciding for you.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Domain name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Auction platform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Closing date and time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Current bid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Renewal included?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Yes / No / Unknown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Buyer or platform fee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Transfer or account restrictions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</w:tbl>
    <w:p>
      <w:pPr>
        <w:pStyle w:val="Heading3"/>
        <w:keepNext/>
        <w:spacing w:before="160" w:after="80"/>
      </w:pPr>
      <w:r>
        <w:t>Conservative economics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Expected gross sale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Use a defensible result, not the highest imaginable price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Less selling fees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Commission, escrow, broker, payment fees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Less renewals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Expected holding years x annual renewal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Less other costs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Transfer, currency, research, development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Required profit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Compensation for time and risk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Maximum total cost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Amount remaining after deductions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Less auction fees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Fees not included in the visible bid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Maximum bid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Final authorized bid ceiling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p>
      <w:pPr>
        <w:pStyle w:val="Heading3"/>
        <w:keepNext/>
        <w:spacing w:before="160" w:after="80"/>
      </w:pPr>
      <w:r>
        <w:t>Bid discipline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maximum is based on a conservative sale range.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number includes buyer fees and the first required renewal.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I reviewed trademark, history, backlink, reputation, and renewal risks.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Other bidders do not change my valuation.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I understand proxy bidding, extensions, payment deadlines, and delivery rules.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I am willing to lose the domain rather than exceed the maximum.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Final maximum bid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Entered before auction?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Yes / No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Actual winning cost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Lesson after auction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</w:tbl>
    <w:p>
      <w:pPr>
        <w:pStyle w:val="Heading2"/>
        <w:keepNext/>
        <w:pageBreakBefore/>
      </w:pPr>
      <w:r>
        <w:t>Worksheet 5: Annual Renewal Audit</w:t>
      </w:r>
    </w:p>
    <w:p>
      <w:pPr>
        <w:keepNext/>
        <w:spacing w:after="140"/>
      </w:pPr>
      <w:r>
        <w:rPr>
          <w:i/>
          <w:color w:val="5A6269"/>
        </w:rPr>
        <w:t>Review the portfolio as a business expense before each renewal cycle.</w:t>
      </w:r>
    </w:p>
    <w:p>
      <w:pPr>
        <w:pStyle w:val="Heading3"/>
        <w:keepNext/>
        <w:spacing w:before="160" w:after="80"/>
      </w:pPr>
      <w:r>
        <w:t>Portfolio summary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Audit date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Domains owned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Domains reviewed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Annual renewal obligation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Premium-renewal domains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Renewal reserve available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Gross sales last 12 months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Net proceeds last 12 months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</w:tbl>
    <w:p>
      <w:pPr>
        <w:pStyle w:val="Heading3"/>
        <w:keepNext/>
        <w:spacing w:before="160" w:after="80"/>
      </w:pPr>
      <w:r>
        <w:t>Domain-level renewal review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rPr>
          <w:cantSplit/>
          <w:tblHeader w:val="true"/>
        </w:trPr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6"/>
              </w:rPr>
              <w:t>Domain</w:t>
            </w:r>
          </w:p>
        </w:tc>
        <w:tc>
          <w:tcPr>
            <w:tcW w:type="dxa" w:w="1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6"/>
              </w:rPr>
              <w:t>Renewal</w:t>
            </w:r>
          </w:p>
        </w:tc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6"/>
              </w:rPr>
              <w:t>Inquiries or offers</w:t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6"/>
              </w:rPr>
              <w:t>Would buy today?</w:t>
            </w:r>
          </w:p>
        </w:tc>
        <w:tc>
          <w:tcPr>
            <w:tcW w:type="dxa" w:w="201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6"/>
              </w:rPr>
              <w:t>Decision</w:t>
            </w:r>
          </w:p>
        </w:tc>
      </w:tr>
      <w:tr>
        <w:trPr>
          <w:cantSplit/>
        </w:trPr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1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1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1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1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1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1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1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1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1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6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65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1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</w:tbl>
    <w:p>
      <w:pPr>
        <w:pStyle w:val="Heading3"/>
        <w:keepNext/>
        <w:spacing w:before="160" w:after="80"/>
      </w:pPr>
      <w:r>
        <w:t>Decision categories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Renew: The original thesis still holds and the renewal is justified.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Reprice: The name remains worth owning, but the current price or listing method is not working.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Research: Important legal, market, history, or buyer information is still missing.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Liquidate: Give the name one defined final-sale period at a lower or wholesale price.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Drop: The buyer pool, economics, legal risk, or quality no longer supports another payment.</w:t>
      </w:r>
    </w:p>
    <w:p>
      <w:pPr>
        <w:pStyle w:val="Heading3"/>
        <w:keepNext/>
        <w:spacing w:before="160" w:after="80"/>
      </w:pPr>
      <w:r>
        <w:t>Single-domain renewal decision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Domain name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Original purchase thesis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What actually happened?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Qualified inquiries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Offers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Three-year carrying cost from today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Available alternatives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Current buyer pool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Weak / Moderate / Strong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Decision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Renew / Reprice / Research / Liquidate / Drop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Decision deadline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</w:tbl>
    <w:p>
      <w:pPr>
        <w:pStyle w:val="Heading3"/>
        <w:keepNext/>
        <w:spacing w:before="160" w:after="80"/>
      </w:pPr>
      <w:r>
        <w:t>Reason for the decision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  <w:br/>
              <w:br/>
              <w:br/>
              <w:br/>
            </w:r>
          </w:p>
        </w:tc>
      </w:tr>
    </w:tbl>
    <w:p>
      <w:pPr>
        <w:pStyle w:val="Heading2"/>
        <w:keepNext/>
        <w:pageBreakBefore/>
      </w:pPr>
      <w:r>
        <w:t>Worksheet 6: Portfolio Economics</w:t>
      </w:r>
    </w:p>
    <w:p>
      <w:pPr>
        <w:keepNext/>
        <w:spacing w:after="140"/>
      </w:pPr>
      <w:r>
        <w:rPr>
          <w:i/>
          <w:color w:val="5A6269"/>
        </w:rPr>
        <w:t>Use posted costs and completed transactions, not portfolio-size optimism.</w:t>
      </w:r>
    </w:p>
    <w:p>
      <w:pPr>
        <w:pStyle w:val="Heading3"/>
        <w:keepNext/>
        <w:spacing w:before="160" w:after="80"/>
      </w:pPr>
      <w:r>
        <w:t>Current portfolio economics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Measurement period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Average domains held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Total acquisition cost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Annual renewal cost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Tools and operating costs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Gross domain sales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Marketplace and broker fees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Net sale proceeds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Domains sold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Domains dropped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</w:tbl>
    <w:p>
      <w:pPr>
        <w:pStyle w:val="Heading3"/>
        <w:keepNext/>
        <w:spacing w:before="160" w:after="80"/>
      </w:pPr>
      <w:r>
        <w:t>Key calculations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Sell-through rate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Domains sold / average eligible inventory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Revenue per domain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Gross sales / average domains held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Net proceeds per domain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Net sale proceeds / average domains held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Average sale price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Gross sales / domains sold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Median sale price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Middle completed sale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02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Net portfolio result</w:t>
            </w:r>
          </w:p>
        </w:tc>
        <w:tc>
          <w:tcPr>
            <w:tcW w:type="dxa" w:w="446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Net sale proceeds - acquisition - renewals - operating costs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</w:r>
          </w:p>
        </w:tc>
      </w:tr>
    </w:tbl>
    <w:p>
      <w:pPr>
        <w:pStyle w:val="Heading3"/>
        <w:keepNext/>
        <w:spacing w:before="160" w:after="80"/>
      </w:pPr>
      <w:r>
        <w:t>Renewal coverage scenarios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  <w:tblHeader w:val="true"/>
        </w:trPr>
        <w:tc>
          <w:tcPr>
            <w:tcW w:type="dxa" w:w="230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Portfolio size</w:t>
            </w:r>
          </w:p>
        </w:tc>
        <w:tc>
          <w:tcPr>
            <w:tcW w:type="dxa" w:w="230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Average renewal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Annual obligation</w:t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Sales needed to cover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30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30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30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30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30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</w:tbl>
    <w:p>
      <w:pPr>
        <w:pStyle w:val="Heading3"/>
        <w:keepNext/>
        <w:spacing w:before="160" w:after="80"/>
      </w:pPr>
      <w:r>
        <w:t>Next 12-month plan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Acquisition budget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Renewal reserve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Operating budget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Maximum portfolio size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Target categories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Names to liquidate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Names likely to drop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Required cash buffer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</w:tbl>
    <w:p>
      <w:pPr>
        <w:pStyle w:val="Heading3"/>
        <w:keepNext/>
        <w:spacing w:before="160" w:after="80"/>
      </w:pPr>
      <w:r>
        <w:t>What the numbers are telling me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  <w:br/>
              <w:br/>
              <w:br/>
              <w:br/>
              <w:br/>
            </w:r>
          </w:p>
        </w:tc>
      </w:tr>
    </w:tbl>
    <w:p>
      <w:pPr>
        <w:pStyle w:val="Heading2"/>
        <w:keepNext/>
        <w:pageBreakBefore/>
      </w:pPr>
      <w:r>
        <w:t>Worksheet 7: Outbound Prospecting Tracker</w:t>
      </w:r>
    </w:p>
    <w:p>
      <w:pPr>
        <w:keepNext/>
        <w:spacing w:after="140"/>
      </w:pPr>
      <w:r>
        <w:rPr>
          <w:i/>
          <w:color w:val="5A6269"/>
        </w:rPr>
        <w:t>Track relevance, consent and jurisdiction considerations, replies, and suppression records.</w:t>
      </w:r>
    </w:p>
    <w:p>
      <w:pPr>
        <w:pStyle w:val="Heading3"/>
        <w:keepNext/>
        <w:spacing w:before="160" w:after="80"/>
      </w:pPr>
      <w:r>
        <w:t>Campaign setup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Domain offered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Price or next step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Target buyer profile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Primary use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Sender domain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SPF, DKIM, DMARC tested?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Yes / No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Postal address included?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Yes / No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Opt-out method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</w:tbl>
    <w:p>
      <w:pPr>
        <w:pStyle w:val="Heading3"/>
        <w:keepNext/>
        <w:spacing w:before="160" w:after="80"/>
      </w:pPr>
      <w:r>
        <w:t>Prospect log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  <w:tblHeader w:val="true"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6"/>
              </w:rPr>
              <w:t>Company and contact</w:t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6"/>
              </w:rPr>
              <w:t>Why the domain fits</w:t>
            </w:r>
          </w:p>
        </w:tc>
        <w:tc>
          <w:tcPr>
            <w:tcW w:type="dxa" w:w="19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6"/>
              </w:rPr>
              <w:t>Sent and follow-up</w:t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6"/>
              </w:rPr>
              <w:t>Response or outcome</w:t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9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9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9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9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9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9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9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9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9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3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194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</w:tbl>
    <w:p>
      <w:pPr>
        <w:pStyle w:val="Heading3"/>
        <w:keepNext/>
        <w:spacing w:before="160" w:after="80"/>
      </w:pPr>
      <w:r>
        <w:t>Compliance and quality check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Each company was qualified before the contact information was collected.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contact role is connected to the likely domain decision.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message identifies the sender and commercial purpose honestly.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subject line is not deceptive and does not fake a prior conversation.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message includes a valid postal address and simple opt-out method where required.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recipient’s jurisdiction and applicable rules were considered.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company and address were screened against suppression records.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No recipient received repeated messages after a no, complaint, or opt-out.</w:t>
      </w:r>
    </w:p>
    <w:p>
      <w:pPr>
        <w:pStyle w:val="Heading3"/>
        <w:keepNext/>
        <w:spacing w:before="160" w:after="80"/>
      </w:pPr>
      <w:r>
        <w:t>Campaign results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Messages sent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Bounces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Positive replies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Negative replies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Opt-outs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Qualified conversations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Offers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Sales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Hours spent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Decision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Continue / Revise / Stop</w:t>
            </w:r>
          </w:p>
        </w:tc>
      </w:tr>
    </w:tbl>
    <w:p>
      <w:pPr>
        <w:pStyle w:val="Heading3"/>
        <w:keepNext/>
        <w:spacing w:before="160" w:after="80"/>
      </w:pPr>
      <w:r>
        <w:t>What the buyer feedback says about the domain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  <w:br/>
              <w:br/>
              <w:br/>
              <w:br/>
            </w:r>
          </w:p>
        </w:tc>
      </w:tr>
    </w:tbl>
    <w:p>
      <w:pPr>
        <w:pStyle w:val="Heading2"/>
        <w:keepNext/>
        <w:pageBreakBefore/>
      </w:pPr>
      <w:r>
        <w:t>Worksheet 8: Negotiation Preparation Sheet</w:t>
      </w:r>
    </w:p>
    <w:p>
      <w:pPr>
        <w:keepNext/>
        <w:spacing w:after="140"/>
      </w:pPr>
      <w:r>
        <w:rPr>
          <w:i/>
          <w:color w:val="5A6269"/>
        </w:rPr>
        <w:t>Decide the terms before the buyer’s questions begin moving your numbers.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Domain name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Buyer or broker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Date inquiry received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Current public price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Wholesale range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$________ to $________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Retail range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$________ to $________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Strategic scenario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Target price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Internal floor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Walk-away point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</w:tbl>
    <w:p>
      <w:pPr>
        <w:pStyle w:val="Heading3"/>
        <w:keepNext/>
        <w:spacing w:before="160" w:after="80"/>
      </w:pPr>
      <w:r>
        <w:t>Preferred terms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Payment method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Who pays fees?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Transfer method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Inspection period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Installments acceptable?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Yes / No / Conditions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Assets included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Domain only unless stated otherwise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Offer deadline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Confidentiality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</w:tbl>
    <w:p>
      <w:pPr>
        <w:pStyle w:val="Heading3"/>
        <w:keepNext/>
        <w:spacing w:before="160" w:after="80"/>
      </w:pPr>
      <w:r>
        <w:t>Concession plan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  <w:tblHeader w:val="true"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Possible concession</w:t>
            </w:r>
          </w:p>
        </w:tc>
        <w:tc>
          <w:tcPr>
            <w:tcW w:type="dxa" w:w="489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What I receive in return</w:t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Limit</w:t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Lower price</w:t>
            </w:r>
          </w:p>
        </w:tc>
        <w:tc>
          <w:tcPr>
            <w:tcW w:type="dxa" w:w="489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Faster payment</w:t>
            </w:r>
          </w:p>
        </w:tc>
        <w:tc>
          <w:tcPr>
            <w:tcW w:type="dxa" w:w="489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Buyer-paid fees</w:t>
            </w:r>
          </w:p>
        </w:tc>
        <w:tc>
          <w:tcPr>
            <w:tcW w:type="dxa" w:w="489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Payment plan</w:t>
            </w:r>
          </w:p>
        </w:tc>
        <w:tc>
          <w:tcPr>
            <w:tcW w:type="dxa" w:w="489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Included assets</w:t>
            </w:r>
          </w:p>
        </w:tc>
        <w:tc>
          <w:tcPr>
            <w:tcW w:type="dxa" w:w="489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</w:tbl>
    <w:p>
      <w:pPr>
        <w:pStyle w:val="Heading3"/>
        <w:keepNext/>
        <w:spacing w:before="160" w:after="80"/>
      </w:pPr>
      <w:r>
        <w:t>Negotiation record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  <w:tblHeader w:val="true"/>
        </w:trPr>
        <w:tc>
          <w:tcPr>
            <w:tcW w:type="dxa" w:w="15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Date</w:t>
            </w:r>
          </w:p>
        </w:tc>
        <w:tc>
          <w:tcPr>
            <w:tcW w:type="dxa" w:w="604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Offer or response</w:t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Next step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04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04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04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04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04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604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  <w:tc>
          <w:tcPr>
            <w:tcW w:type="dxa" w:w="27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Final agreed price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Final terms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Reason accepted or declined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</w:tbl>
    <w:p>
      <w:pPr>
        <w:pStyle w:val="Heading3"/>
        <w:keepNext/>
        <w:spacing w:before="160" w:after="80"/>
      </w:pPr>
      <w:r>
        <w:t>Negotiation notes and lessons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  <w:br/>
              <w:br/>
              <w:br/>
              <w:br/>
              <w:br/>
            </w:r>
          </w:p>
        </w:tc>
      </w:tr>
    </w:tbl>
    <w:p>
      <w:pPr>
        <w:pStyle w:val="Heading2"/>
        <w:keepNext/>
        <w:pageBreakBefore/>
      </w:pPr>
      <w:r>
        <w:t>Worksheet 9: Domain Sale Closing Checklist</w:t>
      </w:r>
    </w:p>
    <w:p>
      <w:pPr>
        <w:keepNext/>
        <w:spacing w:after="140"/>
      </w:pPr>
      <w:r>
        <w:rPr>
          <w:i/>
          <w:color w:val="5A6269"/>
        </w:rPr>
        <w:t>Use this after price and terms are agreed and before moving the domain.</w:t>
      </w:r>
    </w:p>
    <w:p>
      <w:pPr>
        <w:pStyle w:val="Heading3"/>
        <w:keepNext/>
        <w:spacing w:before="160" w:after="80"/>
      </w:pPr>
      <w:r>
        <w:t>Before funding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Confirm the exact domain spelling and extension.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Confirm the seller controls the domain and has authority to sell it.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Confirm the price, currency, fees, payment method, and deadlines in writing.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Confirm whether the sale is domain only or includes other assets.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Confirm the registrar, expiration date, renewal price, and transfer eligibility.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Remove conflicting public prices or identify the authoritative transaction path.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Use a written agreement when the price, assets, parties, or terms justify one.</w:t>
      </w:r>
    </w:p>
    <w:p>
      <w:pPr>
        <w:pStyle w:val="Heading3"/>
        <w:keepNext/>
        <w:spacing w:before="160" w:after="80"/>
      </w:pPr>
      <w:r>
        <w:t>Funding and verification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Open the marketplace or escrow site through an independently verified address.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Confirm the transaction exists inside the official account.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Confirm the domain, amount, currency, fee allocation, and inspection period.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Wait until the provider confirms that funds are secured.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Do not rely on screenshots, emailed receipts, or a buyer-selected lookalike escrow page.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Do not pay for a required appraisal, certificate, tax release, or unknown transfer service.</w:t>
      </w:r>
    </w:p>
    <w:p>
      <w:pPr>
        <w:pStyle w:val="Heading3"/>
        <w:keepNext/>
        <w:spacing w:before="160" w:after="80"/>
      </w:pPr>
      <w:r>
        <w:t>Delivery and completion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Verify the buyer’s receiving registrar or account identifier.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Choose the approved account change, inter-registrar transfer, or concierge process.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Share an authorization code only through the secure transaction channel.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Confirm the buyer has control of the domain.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Complete the provider’s inspection and acceptance process.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Verify the seller’s payout through the official account and financial institution.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Remove stale marketplace listings, fast-transfer approvals, landers, and portfolio entries.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Save the agreement, invoice, transaction record, transfer confirmation, and payout record.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Record gross sale, fees, acquisition cost, renewals, and net profit.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Transaction provider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Transaction ID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Funding confirmed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Delivery confirmed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Payout received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</w:tbl>
    <w:p>
      <w:pPr>
        <w:pStyle w:val="Heading3"/>
        <w:keepNext/>
        <w:spacing w:before="160" w:after="80"/>
      </w:pPr>
      <w:r>
        <w:t>Closing notes or unresolved items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  <w:br/>
              <w:br/>
              <w:br/>
              <w:br/>
              <w:br/>
            </w:r>
          </w:p>
        </w:tc>
      </w:tr>
    </w:tbl>
    <w:p>
      <w:pPr>
        <w:pStyle w:val="Heading2"/>
        <w:keepNext/>
        <w:pageBreakBefore/>
      </w:pPr>
      <w:r>
        <w:t>Worksheet 10: Domain Transfer Checklist</w:t>
      </w:r>
    </w:p>
    <w:p>
      <w:pPr>
        <w:keepNext/>
        <w:spacing w:after="140"/>
      </w:pPr>
      <w:r>
        <w:rPr>
          <w:i/>
          <w:color w:val="5A6269"/>
        </w:rPr>
        <w:t>Confirm the exact registrar and TLD process before changing a valuable domain.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Domain name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Current registrar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Receiving registrar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Transfer method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Account change / inter-registrar / concierge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Expiration date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Renewal price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Buyer account identifier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</w:tbl>
    <w:p>
      <w:pPr>
        <w:pStyle w:val="Heading3"/>
        <w:keepNext/>
        <w:spacing w:before="160" w:after="80"/>
      </w:pPr>
      <w:r>
        <w:t>Eligibility and status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domain is not within an applicable 60-day new-registration or prior-transfer restriction.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A recent or planned registrant change will not create an unexpected transfer lock.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domain is not subject to a dispute, court order, registry hold, or other transfer restriction.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domain is not too close to expiration for the chosen process.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registrar lock can be removed when payment is secured.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The authorization code is available when an inter-registrar transfer is required.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DNS, email, hosting, forwarding, certificates, and connected products have been reviewed.</w:t>
      </w:r>
    </w:p>
    <w:p>
      <w:pPr>
        <w:pStyle w:val="Heading3"/>
        <w:keepNext/>
        <w:spacing w:before="160" w:after="80"/>
      </w:pPr>
      <w:r>
        <w:t>Same-registrar account change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Confirm the buyer’s exact registrar account identifier.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Review change-of-registrant confirmations and any 60-day opt-out option before changing contact data.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Initiate the account change using the registrar’s official process.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Buyer accepts the domain and registration agreement.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Both sides confirm the domain appears in the buyer’s account.</w:t>
      </w:r>
    </w:p>
    <w:p>
      <w:pPr>
        <w:pStyle w:val="Heading3"/>
        <w:keepNext/>
        <w:spacing w:before="160" w:after="80"/>
      </w:pPr>
      <w:r>
        <w:t>Inter-registrar transfer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Confirm payment is secured and the domain is eligible.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Unlock the domain.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Obtain the unique AuthInfo or EPP code.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Provide the code through the approved secure channel.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Buyer starts the transfer at the gaining registrar.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Complete legitimate confirmation or early-approval requests.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Confirm the domain appears in the buyer’s registrar account.</w:t>
      </w:r>
    </w:p>
    <w:p>
      <w:pPr>
        <w:pStyle w:val="Heading3"/>
        <w:keepNext/>
        <w:spacing w:before="160" w:after="80"/>
      </w:pPr>
      <w:r>
        <w:t>After transfer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Buyer verifies ownership information, expiration, renewal, DNS, and security.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Seller confirms inspection completion and payout.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Sensitive DNS, email, or verification records are removed or transferred as agreed.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Duplicate listings and fast-transfer approvals are removed.</w:t>
      </w:r>
    </w:p>
    <w:p>
      <w:pPr>
        <w:pStyle w:val="Heading3"/>
        <w:keepNext/>
        <w:spacing w:before="160" w:after="80"/>
      </w:pPr>
      <w:r>
        <w:t>Registrar support contacts and transfer notes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  <w:br/>
              <w:br/>
              <w:br/>
              <w:br/>
              <w:br/>
            </w:r>
          </w:p>
        </w:tc>
      </w:tr>
    </w:tbl>
    <w:p>
      <w:pPr>
        <w:pStyle w:val="Heading2"/>
        <w:keepNext/>
        <w:pageBreakBefore/>
      </w:pPr>
      <w:r>
        <w:t>Worksheet 11: Account Security and Succession</w:t>
      </w:r>
    </w:p>
    <w:p>
      <w:pPr>
        <w:keepNext/>
        <w:spacing w:after="140"/>
      </w:pPr>
      <w:r>
        <w:rPr>
          <w:i/>
          <w:color w:val="5A6269"/>
        </w:rPr>
        <w:t>Protect the portfolio today and make it possible for the right person to manage it later.</w:t>
      </w:r>
    </w:p>
    <w:p>
      <w:pPr>
        <w:pStyle w:val="ChapterCallout"/>
        <w:shd w:fill="EEF3F7"/>
        <w:pBdr>
          <w:left w:val="single" w:sz="18" w:space="8" w:color="486A86"/>
        </w:pBdr>
      </w:pPr>
      <w:r>
        <w:rPr>
          <w:b/>
          <w:color w:val="1C3046"/>
        </w:rPr>
        <w:t>DO NOT WRITE PASSWORDS HERE</w:t>
        <w:br/>
      </w:r>
      <w:r>
        <w:t>Record where secure credentials and recovery instructions are stored. Do not place actual passwords, recovery codes, or private keys in a printed worksheet that may be copied or misplaced.</w:t>
      </w:r>
    </w:p>
    <w:p>
      <w:pPr>
        <w:pStyle w:val="Heading3"/>
        <w:keepNext/>
        <w:spacing w:before="160" w:after="80"/>
      </w:pPr>
      <w:r>
        <w:t>Registrar and service inventory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  <w:tblHeader w:val="true"/>
        </w:trPr>
        <w:tc>
          <w:tcPr>
            <w:tcW w:type="dxa" w:w="259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6"/>
              </w:rPr>
              <w:t>Account or registrar</w:t>
            </w:r>
          </w:p>
        </w:tc>
        <w:tc>
          <w:tcPr>
            <w:tcW w:type="dxa" w:w="31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6"/>
              </w:rPr>
              <w:t>Domains or purpose</w:t>
            </w:r>
          </w:p>
        </w:tc>
        <w:tc>
          <w:tcPr>
            <w:tcW w:type="dxa" w:w="20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6"/>
              </w:rPr>
              <w:t>2FA method</w:t>
            </w:r>
          </w:p>
        </w:tc>
        <w:tc>
          <w:tcPr>
            <w:tcW w:type="dxa" w:w="25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6"/>
              </w:rPr>
              <w:t>Recovery location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1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5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1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5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1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5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1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5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1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5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1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5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1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5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31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0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  <w:tc>
          <w:tcPr>
            <w:tcW w:type="dxa" w:w="252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6"/>
              </w:rPr>
            </w:r>
          </w:p>
        </w:tc>
      </w:tr>
    </w:tbl>
    <w:p>
      <w:pPr>
        <w:pStyle w:val="Heading3"/>
        <w:keepNext/>
        <w:spacing w:before="160" w:after="80"/>
      </w:pPr>
      <w:r>
        <w:t>Security review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Every registrar and marketplace uses a unique password stored in a password manager.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Two-factor authentication is enabled, preferably with a security key or authenticator app.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Recovery email addresses and phone numbers are current and protected.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Backup codes are stored securely and separately from the primary device.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Account alerts, auto-renew, and backup payment methods are reviewed.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High-value domains use additional locks or Registry Lock when appropriate.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Delegated access is used instead of sharing the primary password when another person needs access.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A response plan exists for an unauthorized login, DNS change, transfer, or payment alert.</w:t>
      </w:r>
    </w:p>
    <w:p>
      <w:pPr>
        <w:pStyle w:val="Heading3"/>
        <w:keepNext/>
        <w:spacing w:before="160" w:after="80"/>
      </w:pPr>
      <w:r>
        <w:t>Succession instructions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Primary successor or executor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Alternate contact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Attorney or advisor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Location of portfolio inventory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Location of secure access instructions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Location of purchase and sale records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Renewal funding instructions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Domains that must not expire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Domains or projects requiring special handling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Preferred liquidation or sale process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</w:tbl>
    <w:p>
      <w:pPr>
        <w:pStyle w:val="Heading3"/>
        <w:keepNext/>
        <w:spacing w:before="160" w:after="80"/>
      </w:pPr>
      <w:r>
        <w:t>Annual review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Last security review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Last successor review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Next scheduled review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Changes needed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</w:tbl>
    <w:p>
      <w:pPr>
        <w:pStyle w:val="Heading2"/>
        <w:keepNext/>
        <w:pageBreakBefore/>
      </w:pPr>
      <w:r>
        <w:t>Worksheet 12: First 30-Day Progress Tracker</w:t>
      </w:r>
    </w:p>
    <w:p>
      <w:pPr>
        <w:keepNext/>
        <w:spacing w:after="140"/>
      </w:pPr>
      <w:r>
        <w:rPr>
          <w:i/>
          <w:color w:val="5A6269"/>
        </w:rPr>
        <w:t>The goal is a secure process and a small defensible portfolio, not the largest possible registration count.</w:t>
      </w:r>
    </w:p>
    <w:p>
      <w:pPr>
        <w:pStyle w:val="Heading3"/>
        <w:keepNext/>
        <w:spacing w:before="160" w:after="80"/>
      </w:pPr>
      <w:r>
        <w:t>Before Day 1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Set an amount that can be lost without affecting bills, debt, emergency savings, or other obligations.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Separate acquisition money, renewal reserve, operating costs, and opportunity reserve.</w:t>
      </w:r>
    </w:p>
    <w:p>
      <w:pPr>
        <w:spacing w:after="60"/>
        <w:ind w:left="173" w:hanging="173"/>
      </w:pPr>
      <w:r>
        <w:rPr>
          <w:rFonts w:ascii="Arial" w:hAnsi="Arial"/>
        </w:rPr>
        <w:t xml:space="preserve">[ ] </w:t>
      </w:r>
      <w:r>
        <w:t>Set a first-month cap, preferably ten domains or fewer.</w:t>
      </w:r>
    </w:p>
    <w:p>
      <w:pPr>
        <w:pStyle w:val="Heading3"/>
        <w:keepNext/>
        <w:spacing w:before="160" w:after="80"/>
      </w:pPr>
      <w:r>
        <w:t>Days 1 to 7: Setup and observation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  <w:tblHeader w:val="true"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Day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Primary task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Completed and notes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1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Create a dedicated business email and secure it.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2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Configure and test SPF, DKIM, and DMARC.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3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Secure registrar accounts, payment methods, alerts, and portfolio records.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4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Observe expired auctions and closeouts without buying.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5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Review marketplaces and completed comparable sales.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6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Choose one or two categories connected to knowledge you already have.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7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Cut the candidate list after buyer, renewal, trademark, and alternative checks.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</w:tbl>
    <w:p>
      <w:pPr>
        <w:pStyle w:val="Heading3"/>
        <w:keepNext/>
        <w:spacing w:before="160" w:after="80"/>
      </w:pPr>
      <w:r>
        <w:t>Days 8 to 14: Purchase thesis and first acquisitions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  <w:tblHeader w:val="true"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Day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Primary task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Completed and notes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8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Write the meaning, buyer, use, alternatives, and evidence for each candidate.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9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Calculate full acquisition and three-year carrying costs.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10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Set the maximum price and future drop condition before buying.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11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Make the first purchase only when the thesis is complete.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12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Record the receipt, renewal, expiration, and transfer status.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13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Buy fewer names than the budget allows.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14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Pause and review the first purchases before adding more.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</w:tbl>
    <w:p>
      <w:pPr>
        <w:pStyle w:val="Heading3"/>
        <w:keepNext/>
        <w:spacing w:before="160" w:after="80"/>
      </w:pPr>
      <w:r>
        <w:t>Days 15 to 21: Price, list, and research buyers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  <w:tblHeader w:val="true"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Day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Primary task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Completed and notes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15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Set a price or offer strategy from the valuation range.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16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Point every domain to a clear sales lander.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17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Verify ownership, public prices, marketplace listings, and mobile display.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18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Choose one domain with a clear commercial use for buyer research.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19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Qualify companies before collecting contact information.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20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Review jurisdiction, suppression, sender identity, and compliance requirements.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21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Draft one brief, honest outbound message without sending it yet.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</w:tbl>
    <w:p>
      <w:pPr>
        <w:pStyle w:val="Heading3"/>
        <w:keepNext/>
        <w:spacing w:before="160" w:after="80"/>
      </w:pPr>
      <w:r>
        <w:t>Days 22 to 30: Test, review, and set rules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  <w:tblHeader w:val="true"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Day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Primary task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shd w:fill="D9E5F2"/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7"/>
              </w:rPr>
              <w:t>Completed and notes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22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Send a small number of individually researched outbound messages.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23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Record delivery, replies, opt-outs, and buyer feedback.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24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Stop or follow up only as the quality of the match justifies.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25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Calculate one-year and three-year carrying cost.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26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Compare cost with realistic sale ranges and probability.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27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Audit purchases, passes, listings, records, and security.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28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Fix missing information before buying more.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29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Write the acquisition, renewal, legal, and monthly-cap rules for Month Two.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30</w:t>
            </w:r>
          </w:p>
        </w:tc>
        <w:tc>
          <w:tcPr>
            <w:tcW w:type="dxa" w:w="576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  <w:t>Hold the first monthly review and schedule the annual audit.</w:t>
            </w:r>
          </w:p>
        </w:tc>
        <w:tc>
          <w:tcPr>
            <w:tcW w:type="dxa" w:w="367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7"/>
              </w:rPr>
            </w:r>
          </w:p>
        </w:tc>
      </w:tr>
    </w:tbl>
    <w:p>
      <w:pPr>
        <w:pStyle w:val="Heading3"/>
        <w:keepNext/>
        <w:spacing w:before="160" w:after="80"/>
      </w:pPr>
      <w:r>
        <w:t>30-day results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Domains purchased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Domains passed on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Total acquisition cost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Annual renewal obligation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Listings live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Qualified buyer contacts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Inquiries or offers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Sales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Strongest lesson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Month Two purchase cap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b/>
                <w:sz w:val="18"/>
              </w:rPr>
              <w:t>Month Two renewal reserve</w:t>
            </w:r>
          </w:p>
        </w:tc>
        <w:tc>
          <w:tcPr>
            <w:tcW w:type="dxa" w:w="748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t>$</w:t>
            </w:r>
          </w:p>
        </w:tc>
      </w:tr>
    </w:tbl>
    <w:p>
      <w:pPr>
        <w:pStyle w:val="Heading3"/>
        <w:keepNext/>
        <w:spacing w:before="160" w:after="80"/>
      </w:pPr>
      <w:r>
        <w:t>Rules I will carry into Month Two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</w:pPr>
            <w:r>
              <w:rPr>
                <w:rFonts w:ascii="EB Garamond" w:hAnsi="EB Garamond"/>
                <w:sz w:val="18"/>
              </w:rPr>
              <w:br/>
              <w:br/>
              <w:br/>
              <w:br/>
              <w:br/>
              <w:br/>
              <w:br/>
            </w:r>
          </w:p>
        </w:tc>
      </w:tr>
    </w:tbl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EB Garamond" w:hAnsi="EB Garamond" w:eastAsia="EB Garamon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EB Garamond" w:hAnsi="EB Garamond" w:eastAsia="EB Garamond"/>
      <w:b/>
      <w:bCs/>
      <w:color w:val="24577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EB Garamond" w:hAnsi="EB Garamond" w:eastAsia="EB Garamond"/>
      <w:b/>
      <w:bCs/>
      <w:color w:val="24577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EB Garamond" w:hAnsi="EB Garamond" w:eastAsia="EB Garamond"/>
      <w:b/>
      <w:bCs/>
      <w:color w:val="24577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hapterCallout">
    <w:name w:val="Chapter Callout"/>
    <w:pPr>
      <w:spacing w:before="160" w:after="160"/>
      <w:ind w:left="288" w:right="288"/>
    </w:pPr>
    <w:rPr>
      <w:rFonts w:ascii="EB Garamond" w:hAnsi="EB Garamond" w:eastAsia="EB Garamond"/>
      <w:color w:val="2D3741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ullysblog.com/domain-resources#book-workshee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Domain Investing Checklists and Worksheets</dc:title>
  <dc:subject>Companion workbook for Beginner’s Guide to Making Money With Domain Names</dc:subject>
  <dc:creator>Michael K. Sullivan</dc:creator>
  <cp:keywords/>
  <dc:description>Printable companion workbook created from Appendix B of the second-edition manuscript.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